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84" w:rsidRPr="002A4F07" w:rsidRDefault="004B4584" w:rsidP="002A4F07">
      <w:pPr>
        <w:jc w:val="center"/>
        <w:rPr>
          <w:rFonts w:ascii="Times New Roman" w:hAnsi="Times New Roman" w:cs="Times New Roman"/>
          <w:b/>
          <w:lang w:val="ro-RO"/>
        </w:rPr>
      </w:pPr>
      <w:r w:rsidRPr="002A4F07">
        <w:rPr>
          <w:rFonts w:ascii="Times New Roman" w:hAnsi="Times New Roman" w:cs="Times New Roman"/>
          <w:b/>
          <w:lang w:val="ro-RO"/>
        </w:rPr>
        <w:t>Anexa declaraţie celuilalt părinte</w:t>
      </w:r>
    </w:p>
    <w:p w:rsidR="004B4584" w:rsidRDefault="004B4584" w:rsidP="002A4F07">
      <w:pPr>
        <w:spacing w:after="0" w:line="240" w:lineRule="auto"/>
        <w:jc w:val="both"/>
        <w:rPr>
          <w:i/>
          <w:lang w:val="ro-RO"/>
        </w:rPr>
      </w:pPr>
      <w:r w:rsidRPr="004B4584">
        <w:rPr>
          <w:i/>
          <w:lang w:val="ro-RO"/>
        </w:rPr>
        <w:t>Conform art. 11 din O.U.G. nr. 111/2010 privind concediul şi indemnizaţia lunară pentru creşterea copilului,cu modificările şi completările ulterioare</w:t>
      </w:r>
      <w:r>
        <w:rPr>
          <w:rFonts w:cstheme="minorHAnsi"/>
          <w:i/>
          <w:lang w:val="ro-RO"/>
        </w:rPr>
        <w:t>:</w:t>
      </w:r>
    </w:p>
    <w:p w:rsidR="004B4584" w:rsidRPr="002A4F07" w:rsidRDefault="004B4584" w:rsidP="002A4F07">
      <w:pPr>
        <w:spacing w:after="0" w:line="240" w:lineRule="auto"/>
        <w:ind w:firstLine="360"/>
        <w:jc w:val="both"/>
        <w:rPr>
          <w:rFonts w:ascii="Times New Roman" w:eastAsia="Times New Roman" w:hAnsi="Times New Roman" w:cs="Times New Roman"/>
        </w:rPr>
      </w:pPr>
      <w:r w:rsidRPr="004B4584">
        <w:rPr>
          <w:rFonts w:ascii="Times New Roman" w:eastAsia="Times New Roman" w:hAnsi="Times New Roman" w:cs="Times New Roman"/>
        </w:rPr>
        <w:t xml:space="preserve">Dreptul la concediul pentru creşterea copilului </w:t>
      </w:r>
      <w:r w:rsidRPr="002A4F07">
        <w:rPr>
          <w:rFonts w:ascii="Times New Roman" w:eastAsia="Times New Roman" w:hAnsi="Times New Roman" w:cs="Times New Roman"/>
        </w:rPr>
        <w:t>pana la un an, 2 sau 3 ani, în cazul copilului cu handicap</w:t>
      </w:r>
      <w:r w:rsidRPr="004B4584">
        <w:rPr>
          <w:rFonts w:ascii="Times New Roman" w:eastAsia="Times New Roman" w:hAnsi="Times New Roman" w:cs="Times New Roman"/>
        </w:rPr>
        <w:t xml:space="preserve"> se acordă pe bază netransferabilă persoanelor ai căror copii se nasc începând cu data de 1 martie 2012, precum şi </w:t>
      </w:r>
      <w:r w:rsidRPr="002A4F07">
        <w:rPr>
          <w:rFonts w:ascii="Times New Roman" w:eastAsia="Times New Roman" w:hAnsi="Times New Roman" w:cs="Times New Roman"/>
        </w:rPr>
        <w:t>pentru situaţiile în care o persoană a adoptat copilul, căreia i s-a încredinţat copilul în vederea adopţiei sau care are copilul în plasament ori în plasament de urgenţă, precum şi pentru persoana care a fost numit tutore, începând cu aceasta data în situaţia în care ambele persoane din familia respectivă îndeplinesc condiţiile de acordare a acestuia, după cum urmează:</w:t>
      </w:r>
    </w:p>
    <w:p w:rsidR="004B4584" w:rsidRPr="002A4F07" w:rsidRDefault="004B4584" w:rsidP="002A4F07">
      <w:pPr>
        <w:pStyle w:val="ListParagraph"/>
        <w:numPr>
          <w:ilvl w:val="0"/>
          <w:numId w:val="1"/>
        </w:numPr>
        <w:spacing w:after="0" w:line="240" w:lineRule="auto"/>
        <w:jc w:val="both"/>
        <w:rPr>
          <w:rFonts w:ascii="Times New Roman" w:eastAsia="Times New Roman" w:hAnsi="Times New Roman" w:cs="Times New Roman"/>
        </w:rPr>
      </w:pPr>
      <w:r w:rsidRPr="002A4F07">
        <w:rPr>
          <w:rFonts w:ascii="Times New Roman" w:eastAsia="Times New Roman" w:hAnsi="Times New Roman" w:cs="Times New Roman"/>
        </w:rPr>
        <w:t>cel puţin o lună din perioada totală a concediului de creştere a copilului este alocată uneia dintre persoanele care nu a solicitat acest drept;</w:t>
      </w:r>
    </w:p>
    <w:p w:rsidR="004B4584" w:rsidRDefault="004B4584" w:rsidP="002A4F07">
      <w:pPr>
        <w:pStyle w:val="ListParagraph"/>
        <w:numPr>
          <w:ilvl w:val="0"/>
          <w:numId w:val="1"/>
        </w:numPr>
        <w:spacing w:after="0" w:line="240" w:lineRule="auto"/>
        <w:jc w:val="both"/>
        <w:rPr>
          <w:rFonts w:ascii="Times New Roman" w:eastAsia="Times New Roman" w:hAnsi="Times New Roman" w:cs="Times New Roman"/>
        </w:rPr>
      </w:pPr>
      <w:r w:rsidRPr="002A4F07">
        <w:rPr>
          <w:rFonts w:ascii="Times New Roman" w:eastAsia="Times New Roman" w:hAnsi="Times New Roman" w:cs="Times New Roman"/>
        </w:rPr>
        <w:t xml:space="preserve">în situaţia în care persoana prevăzută la lit. a) nu solicită dreptul la concediul care îi revine, celălalt părinte nu poate beneficia de dreptul la concediu în locul acesteia. </w:t>
      </w:r>
    </w:p>
    <w:p w:rsidR="002A4F07" w:rsidRPr="002A4F07" w:rsidRDefault="002A4F07" w:rsidP="002A4F07">
      <w:pPr>
        <w:spacing w:after="0" w:line="240" w:lineRule="auto"/>
        <w:ind w:left="360"/>
        <w:jc w:val="both"/>
        <w:rPr>
          <w:rFonts w:ascii="Times New Roman" w:eastAsia="Times New Roman" w:hAnsi="Times New Roman" w:cs="Times New Roman"/>
        </w:rPr>
      </w:pPr>
    </w:p>
    <w:p w:rsidR="004B4584" w:rsidRPr="004B4584" w:rsidRDefault="004B4584" w:rsidP="002A4F07">
      <w:pPr>
        <w:spacing w:after="0" w:line="240" w:lineRule="auto"/>
        <w:ind w:firstLine="360"/>
        <w:jc w:val="both"/>
        <w:rPr>
          <w:rFonts w:ascii="Times New Roman" w:eastAsia="Times New Roman" w:hAnsi="Times New Roman" w:cs="Times New Roman"/>
          <w:i/>
        </w:rPr>
      </w:pPr>
      <w:r w:rsidRPr="002A4F07">
        <w:rPr>
          <w:rFonts w:ascii="Times New Roman" w:eastAsia="Times New Roman" w:hAnsi="Times New Roman" w:cs="Times New Roman"/>
          <w:i/>
        </w:rPr>
        <w:t>Conform art. 4</w:t>
      </w:r>
      <w:r w:rsidRPr="002A4F07">
        <w:rPr>
          <w:rFonts w:ascii="Times New Roman" w:eastAsia="Times New Roman" w:hAnsi="Times New Roman" w:cs="Times New Roman"/>
          <w:i/>
          <w:vertAlign w:val="superscript"/>
        </w:rPr>
        <w:t xml:space="preserve">1 </w:t>
      </w:r>
      <w:r w:rsidRPr="002A4F07">
        <w:rPr>
          <w:rFonts w:ascii="Times New Roman" w:eastAsia="Times New Roman" w:hAnsi="Times New Roman" w:cs="Times New Roman"/>
          <w:i/>
        </w:rPr>
        <w:t xml:space="preserve">din Hotărârea nr. 52/2011 </w:t>
      </w:r>
      <w:r w:rsidRPr="004B4584">
        <w:rPr>
          <w:rFonts w:ascii="Times New Roman" w:eastAsia="Times New Roman" w:hAnsi="Times New Roman" w:cs="Times New Roman"/>
          <w:bCs/>
          <w:i/>
        </w:rPr>
        <w:t xml:space="preserve">pentru aprobarea Normelor metodologice de aplicare a prevederilor </w:t>
      </w:r>
      <w:hyperlink r:id="rId7" w:history="1">
        <w:r w:rsidRPr="002A4F07">
          <w:rPr>
            <w:rFonts w:ascii="Times New Roman" w:eastAsia="Times New Roman" w:hAnsi="Times New Roman" w:cs="Times New Roman"/>
            <w:bCs/>
            <w:i/>
          </w:rPr>
          <w:t>Ordonanţei de urgenţă a Guvernului nr. 111/2010</w:t>
        </w:r>
      </w:hyperlink>
      <w:r w:rsidRPr="004B4584">
        <w:rPr>
          <w:rFonts w:ascii="Times New Roman" w:eastAsia="Times New Roman" w:hAnsi="Times New Roman" w:cs="Times New Roman"/>
          <w:bCs/>
          <w:i/>
        </w:rPr>
        <w:t xml:space="preserve"> privind concediul şi indemnizaţia lunară pentru creşterea copiilor</w:t>
      </w:r>
      <w:r w:rsidRPr="002A4F07">
        <w:rPr>
          <w:rFonts w:ascii="Times New Roman" w:eastAsia="Times New Roman" w:hAnsi="Times New Roman" w:cs="Times New Roman"/>
          <w:bCs/>
          <w:i/>
        </w:rPr>
        <w:t>, cu modificările şi completările ulterioare:</w:t>
      </w:r>
    </w:p>
    <w:p w:rsidR="004B4584" w:rsidRPr="002A4F07" w:rsidRDefault="002A4F07" w:rsidP="002A4F07">
      <w:pPr>
        <w:spacing w:before="100" w:beforeAutospacing="1" w:after="0" w:line="240" w:lineRule="auto"/>
        <w:jc w:val="both"/>
        <w:rPr>
          <w:rFonts w:ascii="Times New Roman" w:hAnsi="Times New Roman" w:cs="Times New Roman"/>
          <w:b/>
        </w:rPr>
      </w:pPr>
      <w:r w:rsidRPr="002A4F07">
        <w:rPr>
          <w:rFonts w:ascii="Times New Roman" w:hAnsi="Times New Roman" w:cs="Times New Roman"/>
        </w:rPr>
        <w:t xml:space="preserve">(1) </w:t>
      </w:r>
      <w:r w:rsidR="004B4584" w:rsidRPr="002A4F07">
        <w:rPr>
          <w:rFonts w:ascii="Times New Roman" w:hAnsi="Times New Roman" w:cs="Times New Roman"/>
        </w:rPr>
        <w:t xml:space="preserve">În aplicarea prevederilor art. 11 alin. (1) lit. a) din </w:t>
      </w:r>
      <w:hyperlink r:id="rId8" w:history="1">
        <w:r w:rsidR="004B4584" w:rsidRPr="002A4F07">
          <w:rPr>
            <w:rStyle w:val="Hyperlink"/>
            <w:rFonts w:ascii="Times New Roman" w:hAnsi="Times New Roman" w:cs="Times New Roman"/>
            <w:color w:val="auto"/>
            <w:u w:val="none"/>
          </w:rPr>
          <w:t>ordonanţa de urgenţă</w:t>
        </w:r>
      </w:hyperlink>
      <w:r w:rsidR="004B4584" w:rsidRPr="002A4F07">
        <w:rPr>
          <w:rFonts w:ascii="Times New Roman" w:hAnsi="Times New Roman" w:cs="Times New Roman"/>
        </w:rPr>
        <w:t xml:space="preserve">, celălalt părinte sau cealaltă persoană care nu a solicitat dreptul la indemnizaţie poate solicita acest drept, dacă îndeplineşte condiţiile de acordare, oricând până la împlinirea de către copil a vârstei de 2 ani, respectiv 3 ani, în cazul copilului cu handicap. </w:t>
      </w:r>
      <w:r w:rsidR="004B4584" w:rsidRPr="002A4F07">
        <w:rPr>
          <w:rFonts w:ascii="Times New Roman" w:hAnsi="Times New Roman" w:cs="Times New Roman"/>
          <w:b/>
        </w:rPr>
        <w:t>Dacă acest drept nu se solicit, concediul şi indemnizaţia pentru creşterea copilului se reduc cu o lună.</w:t>
      </w:r>
    </w:p>
    <w:p w:rsidR="002A4F07" w:rsidRDefault="002A4F07" w:rsidP="002A4F07">
      <w:pPr>
        <w:spacing w:after="0"/>
        <w:jc w:val="both"/>
        <w:rPr>
          <w:rFonts w:ascii="Times New Roman" w:hAnsi="Times New Roman" w:cs="Times New Roman"/>
        </w:rPr>
      </w:pPr>
      <w:r w:rsidRPr="002A4F07">
        <w:rPr>
          <w:rFonts w:ascii="Times New Roman" w:hAnsi="Times New Roman" w:cs="Times New Roman"/>
        </w:rPr>
        <w:t xml:space="preserve">(2) În situaţia prevăzută la alin. (1), persoana îndreptăţită care se află în concediu pentru creşterea copilului </w:t>
      </w:r>
      <w:r w:rsidRPr="002A4F07">
        <w:rPr>
          <w:rFonts w:ascii="Times New Roman" w:hAnsi="Times New Roman" w:cs="Times New Roman"/>
          <w:b/>
        </w:rPr>
        <w:t>poate opta pentru concediu fără plată acordat de angajator sau, după caz, pentru realizarea de venituri supuse impozitului</w:t>
      </w:r>
      <w:r w:rsidRPr="002A4F07">
        <w:rPr>
          <w:rFonts w:ascii="Times New Roman" w:hAnsi="Times New Roman" w:cs="Times New Roman"/>
        </w:rPr>
        <w:t>.</w:t>
      </w:r>
      <w:r w:rsidRPr="002A4F07">
        <w:rPr>
          <w:rFonts w:ascii="Times New Roman" w:hAnsi="Times New Roman" w:cs="Times New Roman"/>
        </w:rPr>
        <w:br/>
      </w:r>
      <w:r w:rsidRPr="002A4F07">
        <w:rPr>
          <w:rFonts w:ascii="Times New Roman" w:hAnsi="Times New Roman" w:cs="Times New Roman"/>
          <w:color w:val="CC0099"/>
        </w:rPr>
        <w:t>(3)</w:t>
      </w:r>
      <w:r w:rsidRPr="002A4F07">
        <w:rPr>
          <w:rFonts w:ascii="Times New Roman" w:hAnsi="Times New Roman" w:cs="Times New Roman"/>
        </w:rPr>
        <w:t xml:space="preserve"> În cazul persoanei singure sau în cazul în care nu sunt îndeplinite condiţiile de acordare a concediului şi indemnizaţiei pentru creşterea copilului, prevederile art. 11 din </w:t>
      </w:r>
      <w:hyperlink r:id="rId9" w:history="1">
        <w:r w:rsidRPr="002A4F07">
          <w:rPr>
            <w:rStyle w:val="Hyperlink"/>
            <w:rFonts w:ascii="Times New Roman" w:hAnsi="Times New Roman" w:cs="Times New Roman"/>
            <w:color w:val="auto"/>
            <w:u w:val="none"/>
          </w:rPr>
          <w:t>ordonanţa de urgenţă</w:t>
        </w:r>
      </w:hyperlink>
      <w:r w:rsidRPr="002A4F07">
        <w:rPr>
          <w:rFonts w:ascii="Times New Roman" w:hAnsi="Times New Roman" w:cs="Times New Roman"/>
        </w:rPr>
        <w:t xml:space="preserve"> nu se aplică.</w:t>
      </w:r>
    </w:p>
    <w:p w:rsidR="002A4F07" w:rsidRPr="002A4F07" w:rsidRDefault="002A4F07" w:rsidP="002A4F07">
      <w:pPr>
        <w:spacing w:after="0"/>
        <w:jc w:val="both"/>
        <w:rPr>
          <w:rFonts w:ascii="Times New Roman" w:hAnsi="Times New Roman" w:cs="Times New Roman"/>
        </w:rPr>
      </w:pPr>
      <w:r w:rsidRPr="002A4F07">
        <w:rPr>
          <w:rFonts w:ascii="Times New Roman" w:hAnsi="Times New Roman" w:cs="Times New Roman"/>
          <w:color w:val="CC0099"/>
        </w:rPr>
        <w:t>(4)</w:t>
      </w:r>
      <w:r w:rsidRPr="002A4F07">
        <w:rPr>
          <w:rFonts w:ascii="Times New Roman" w:hAnsi="Times New Roman" w:cs="Times New Roman"/>
        </w:rPr>
        <w:t xml:space="preserve"> Pe perioada în care cealaltă persoană beneficiază de dreptul la concediul propriu de creştere a copilului de cel puţin o lună, dreptul celuilalt părinte la indemnizaţia pentru creşterea copilului se suspendă în condiţiile art. 16 alin. (2) din </w:t>
      </w:r>
      <w:hyperlink r:id="rId10" w:history="1">
        <w:r w:rsidRPr="002A4F07">
          <w:rPr>
            <w:rStyle w:val="Hyperlink"/>
            <w:rFonts w:ascii="Times New Roman" w:hAnsi="Times New Roman" w:cs="Times New Roman"/>
            <w:color w:val="auto"/>
            <w:u w:val="none"/>
          </w:rPr>
          <w:t>ordonanţa de urgenţă</w:t>
        </w:r>
      </w:hyperlink>
      <w:r w:rsidRPr="002A4F07">
        <w:rPr>
          <w:rFonts w:ascii="Times New Roman" w:hAnsi="Times New Roman" w:cs="Times New Roman"/>
        </w:rPr>
        <w:t>.</w:t>
      </w:r>
    </w:p>
    <w:p w:rsidR="002A4F07" w:rsidRDefault="002A4F07" w:rsidP="002A4F07">
      <w:pPr>
        <w:spacing w:after="0"/>
        <w:jc w:val="both"/>
        <w:rPr>
          <w:rFonts w:ascii="Times New Roman" w:hAnsi="Times New Roman" w:cs="Times New Roman"/>
        </w:rPr>
      </w:pPr>
      <w:r w:rsidRPr="002A4F07">
        <w:rPr>
          <w:rFonts w:ascii="Times New Roman" w:hAnsi="Times New Roman" w:cs="Times New Roman"/>
          <w:color w:val="CC0099"/>
        </w:rPr>
        <w:t>(5)</w:t>
      </w:r>
      <w:r w:rsidRPr="002A4F07">
        <w:rPr>
          <w:rFonts w:ascii="Times New Roman" w:hAnsi="Times New Roman" w:cs="Times New Roman"/>
        </w:rPr>
        <w:t xml:space="preserve"> În situaţia în care persoana îndreptăţită optează pentru concediu fără plată potrivit alin. (2), cererea pentru acordarea acestuia se depune şi se înregistrează la angajator, pe această perioadă aplicându-se corespunzător prevederile art. 21 alin. (3) şi (4) şi art. 22 din </w:t>
      </w:r>
      <w:hyperlink r:id="rId11" w:history="1">
        <w:r w:rsidRPr="002A4F07">
          <w:rPr>
            <w:rStyle w:val="Hyperlink"/>
            <w:rFonts w:ascii="Times New Roman" w:hAnsi="Times New Roman" w:cs="Times New Roman"/>
            <w:color w:val="auto"/>
            <w:u w:val="none"/>
          </w:rPr>
          <w:t>ordonanţa de urgenţă</w:t>
        </w:r>
      </w:hyperlink>
      <w:r w:rsidRPr="002A4F07">
        <w:rPr>
          <w:rFonts w:ascii="Times New Roman" w:hAnsi="Times New Roman" w:cs="Times New Roman"/>
        </w:rPr>
        <w:t>.</w:t>
      </w:r>
    </w:p>
    <w:p w:rsidR="002A4F07" w:rsidRDefault="002A4F07" w:rsidP="002A4F07">
      <w:pPr>
        <w:spacing w:after="0"/>
        <w:jc w:val="both"/>
        <w:rPr>
          <w:rFonts w:ascii="Times New Roman" w:hAnsi="Times New Roman" w:cs="Times New Roman"/>
        </w:rPr>
      </w:pPr>
      <w:r w:rsidRPr="002A4F07">
        <w:rPr>
          <w:rFonts w:ascii="Times New Roman" w:hAnsi="Times New Roman" w:cs="Times New Roman"/>
          <w:color w:val="CC0099"/>
        </w:rPr>
        <w:t>(6)</w:t>
      </w:r>
      <w:r w:rsidRPr="002A4F07">
        <w:rPr>
          <w:rFonts w:ascii="Times New Roman" w:hAnsi="Times New Roman" w:cs="Times New Roman"/>
        </w:rPr>
        <w:t xml:space="preserve"> Prevederile alin. (1) - (5) nu se aplică în situaţia în care persoana îndreptăţită solicită numai acordarea stimulentului de inserţie sau acesta este solicitat cu cel puţin 3 luni înainte de împlinirea de către copil a vârstei de 2 ani, respectiv 3 ani, în cazul copilului cu handicap.</w:t>
      </w:r>
    </w:p>
    <w:p w:rsidR="002A4F07" w:rsidRPr="002A4F07" w:rsidRDefault="002A4F07" w:rsidP="002A4F07">
      <w:pPr>
        <w:spacing w:after="0"/>
        <w:jc w:val="both"/>
        <w:rPr>
          <w:rFonts w:ascii="Times New Roman" w:hAnsi="Times New Roman" w:cs="Times New Roman"/>
        </w:rPr>
      </w:pPr>
      <w:r w:rsidRPr="002A4F07">
        <w:rPr>
          <w:rFonts w:ascii="Times New Roman" w:hAnsi="Times New Roman" w:cs="Times New Roman"/>
          <w:color w:val="CC0099"/>
        </w:rPr>
        <w:t>(7)</w:t>
      </w:r>
      <w:r w:rsidRPr="002A4F07">
        <w:rPr>
          <w:rFonts w:ascii="Times New Roman" w:hAnsi="Times New Roman" w:cs="Times New Roman"/>
        </w:rPr>
        <w:t xml:space="preserve"> Solicitarea concediului şi a indemnizaţiei pentru creşterea copilului prevăzute la alin. (1) se face pe bază de cerere şi documente doveditoare, în condiţiile prezentelor norme metodologice, până cel târziu în ziua anterioară împlinirii de către copil a vârstei de 2 ani sau 3 ani în cazul copilului cu handicap.</w:t>
      </w:r>
    </w:p>
    <w:p w:rsidR="002A4F07" w:rsidRDefault="002A4F07" w:rsidP="002A4F07">
      <w:pPr>
        <w:spacing w:after="0"/>
        <w:jc w:val="both"/>
        <w:rPr>
          <w:rFonts w:ascii="Times New Roman" w:hAnsi="Times New Roman" w:cs="Times New Roman"/>
        </w:rPr>
      </w:pPr>
      <w:r w:rsidRPr="002A4F07">
        <w:rPr>
          <w:rFonts w:ascii="Times New Roman" w:hAnsi="Times New Roman" w:cs="Times New Roman"/>
          <w:color w:val="CC0099"/>
        </w:rPr>
        <w:t>(8)</w:t>
      </w:r>
      <w:r w:rsidRPr="002A4F07">
        <w:rPr>
          <w:rFonts w:ascii="Times New Roman" w:hAnsi="Times New Roman" w:cs="Times New Roman"/>
        </w:rPr>
        <w:t xml:space="preserve"> În cazul în care celălalt părinte nu respectă prevederile alin. (7), concediul şi indemnizaţia pentru creşterea copilului sau, după caz, acordarea stimulentului de inserţie se reduc cu o lună.</w:t>
      </w:r>
    </w:p>
    <w:p w:rsidR="002A4F07" w:rsidRPr="002A4F07" w:rsidRDefault="002A4F07" w:rsidP="002A4F07">
      <w:pPr>
        <w:spacing w:after="0"/>
        <w:jc w:val="both"/>
        <w:rPr>
          <w:rFonts w:ascii="Times New Roman" w:hAnsi="Times New Roman" w:cs="Times New Roman"/>
          <w:b/>
        </w:rPr>
      </w:pPr>
      <w:r w:rsidRPr="002A4F07">
        <w:rPr>
          <w:rFonts w:ascii="Times New Roman" w:hAnsi="Times New Roman" w:cs="Times New Roman"/>
          <w:color w:val="CC0099"/>
        </w:rPr>
        <w:t>(9)</w:t>
      </w:r>
      <w:r w:rsidRPr="002A4F07">
        <w:rPr>
          <w:rFonts w:ascii="Times New Roman" w:hAnsi="Times New Roman" w:cs="Times New Roman"/>
        </w:rPr>
        <w:t xml:space="preserve"> În situaţia în care persoana îndreptăţită prevăzută la alin. (1) </w:t>
      </w:r>
      <w:r w:rsidRPr="002A4F07">
        <w:rPr>
          <w:rFonts w:ascii="Times New Roman" w:hAnsi="Times New Roman" w:cs="Times New Roman"/>
          <w:b/>
        </w:rPr>
        <w:t xml:space="preserve">nu solicită dreptul la concediul propriu de cel puţin o lună, aceasta are obligaţia de a anunţa în scris agenţia pentru plăţi şi inspecţie socială judeţeană, respectiv a municipiului Bucureşti, denumită în continuare </w:t>
      </w:r>
      <w:r w:rsidRPr="002A4F07">
        <w:rPr>
          <w:rFonts w:ascii="Times New Roman" w:hAnsi="Times New Roman" w:cs="Times New Roman"/>
          <w:b/>
          <w:bCs/>
        </w:rPr>
        <w:t>agenţie teritorială</w:t>
      </w:r>
      <w:r w:rsidRPr="002A4F07">
        <w:rPr>
          <w:rFonts w:ascii="Times New Roman" w:hAnsi="Times New Roman" w:cs="Times New Roman"/>
          <w:b/>
        </w:rPr>
        <w:t>, potrivit alin. (7), dacă nu se înregistrează situaţia prevăzută la alin. (6). În situaţia în care persoana îndreptăţită nu anunţă, concediul şi indemnizaţia sau, după caz, acordarea stimulentului de inserţie se reduc, din oficiu, cu o lună.</w:t>
      </w:r>
    </w:p>
    <w:p w:rsidR="002A4F07" w:rsidRPr="002A4F07" w:rsidRDefault="002A4F07" w:rsidP="002A4F07">
      <w:pPr>
        <w:spacing w:after="0"/>
        <w:jc w:val="both"/>
        <w:rPr>
          <w:rFonts w:ascii="Times New Roman" w:hAnsi="Times New Roman" w:cs="Times New Roman"/>
        </w:rPr>
      </w:pPr>
      <w:r w:rsidRPr="002A4F07">
        <w:rPr>
          <w:rFonts w:ascii="Times New Roman" w:hAnsi="Times New Roman" w:cs="Times New Roman"/>
          <w:color w:val="CC0099"/>
        </w:rPr>
        <w:t>(10)</w:t>
      </w:r>
      <w:r w:rsidRPr="002A4F07">
        <w:rPr>
          <w:rFonts w:ascii="Times New Roman" w:hAnsi="Times New Roman" w:cs="Times New Roman"/>
        </w:rPr>
        <w:t xml:space="preserve"> În situaţia suprapunerii drepturilor de concediu şi indemnizaţie pentru creşterea copilului în condiţiile art. 8, drepturile prevăzute în prezentul articol pot fi solicitate de celălalt părinte care îndeplineşte condiţiile de acordare la finalizarea concediului şi a indemnizaţiei pentru creşterea celui din urmă copil, drepturile respective fiind netransferabile pentru o perioadă de luni cel puţin egală cu numărul de suprapuneri înregistrate în perioada totală a concediilor suprapuse şi cumulate.</w:t>
      </w:r>
    </w:p>
    <w:p w:rsidR="003468CD" w:rsidRPr="002A4F07" w:rsidRDefault="002A4F07" w:rsidP="002A4F07">
      <w:pPr>
        <w:tabs>
          <w:tab w:val="left" w:pos="4922"/>
        </w:tabs>
        <w:spacing w:before="100" w:beforeAutospacing="1" w:after="100" w:afterAutospacing="1" w:line="240" w:lineRule="auto"/>
        <w:ind w:firstLine="360"/>
        <w:jc w:val="both"/>
        <w:rPr>
          <w:rFonts w:ascii="Times New Roman" w:eastAsia="Times New Roman" w:hAnsi="Times New Roman" w:cs="Times New Roman"/>
          <w:b/>
          <w:i/>
        </w:rPr>
      </w:pPr>
      <w:r>
        <w:rPr>
          <w:rFonts w:ascii="Times New Roman" w:eastAsia="Times New Roman" w:hAnsi="Times New Roman" w:cs="Times New Roman"/>
          <w:b/>
          <w:i/>
        </w:rPr>
        <w:tab/>
        <w:t>Am luat la cunoştinţă</w:t>
      </w:r>
    </w:p>
    <w:sectPr w:rsidR="003468CD" w:rsidRPr="002A4F07" w:rsidSect="002A4F07">
      <w:headerReference w:type="default" r:id="rId12"/>
      <w:pgSz w:w="12240" w:h="15840"/>
      <w:pgMar w:top="720" w:right="720" w:bottom="45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155" w:rsidRDefault="00403155" w:rsidP="002A4F07">
      <w:pPr>
        <w:spacing w:after="0" w:line="240" w:lineRule="auto"/>
      </w:pPr>
      <w:r>
        <w:separator/>
      </w:r>
    </w:p>
  </w:endnote>
  <w:endnote w:type="continuationSeparator" w:id="1">
    <w:p w:rsidR="00403155" w:rsidRDefault="00403155" w:rsidP="002A4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155" w:rsidRDefault="00403155" w:rsidP="002A4F07">
      <w:pPr>
        <w:spacing w:after="0" w:line="240" w:lineRule="auto"/>
      </w:pPr>
      <w:r>
        <w:separator/>
      </w:r>
    </w:p>
  </w:footnote>
  <w:footnote w:type="continuationSeparator" w:id="1">
    <w:p w:rsidR="00403155" w:rsidRDefault="00403155" w:rsidP="002A4F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07" w:rsidRDefault="002A4F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3462"/>
    <w:multiLevelType w:val="hybridMultilevel"/>
    <w:tmpl w:val="7C0659D6"/>
    <w:lvl w:ilvl="0" w:tplc="4C9C6C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4584"/>
    <w:rsid w:val="002A4F07"/>
    <w:rsid w:val="003468CD"/>
    <w:rsid w:val="00403155"/>
    <w:rsid w:val="004B4584"/>
    <w:rsid w:val="00857604"/>
    <w:rsid w:val="00AB1D32"/>
    <w:rsid w:val="00CD4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458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4584"/>
    <w:pPr>
      <w:ind w:left="720"/>
      <w:contextualSpacing/>
    </w:pPr>
  </w:style>
  <w:style w:type="character" w:styleId="Hyperlink">
    <w:name w:val="Hyperlink"/>
    <w:basedOn w:val="DefaultParagraphFont"/>
    <w:uiPriority w:val="99"/>
    <w:semiHidden/>
    <w:unhideWhenUsed/>
    <w:rsid w:val="004B4584"/>
    <w:rPr>
      <w:color w:val="0000FF"/>
      <w:u w:val="single"/>
    </w:rPr>
  </w:style>
  <w:style w:type="paragraph" w:styleId="Header">
    <w:name w:val="header"/>
    <w:basedOn w:val="Normal"/>
    <w:link w:val="HeaderChar"/>
    <w:uiPriority w:val="99"/>
    <w:semiHidden/>
    <w:unhideWhenUsed/>
    <w:rsid w:val="002A4F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F07"/>
  </w:style>
  <w:style w:type="paragraph" w:styleId="Footer">
    <w:name w:val="footer"/>
    <w:basedOn w:val="Normal"/>
    <w:link w:val="FooterChar"/>
    <w:uiPriority w:val="99"/>
    <w:semiHidden/>
    <w:unhideWhenUsed/>
    <w:rsid w:val="002A4F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4F07"/>
  </w:style>
</w:styles>
</file>

<file path=word/webSettings.xml><?xml version="1.0" encoding="utf-8"?>
<w:webSettings xmlns:r="http://schemas.openxmlformats.org/officeDocument/2006/relationships" xmlns:w="http://schemas.openxmlformats.org/wordprocessingml/2006/main">
  <w:divs>
    <w:div w:id="262806302">
      <w:bodyDiv w:val="1"/>
      <w:marLeft w:val="0"/>
      <w:marRight w:val="0"/>
      <w:marTop w:val="0"/>
      <w:marBottom w:val="0"/>
      <w:divBdr>
        <w:top w:val="none" w:sz="0" w:space="0" w:color="auto"/>
        <w:left w:val="none" w:sz="0" w:space="0" w:color="auto"/>
        <w:bottom w:val="none" w:sz="0" w:space="0" w:color="auto"/>
        <w:right w:val="none" w:sz="0" w:space="0" w:color="auto"/>
      </w:divBdr>
      <w:divsChild>
        <w:div w:id="747339287">
          <w:marLeft w:val="0"/>
          <w:marRight w:val="0"/>
          <w:marTop w:val="0"/>
          <w:marBottom w:val="0"/>
          <w:divBdr>
            <w:top w:val="none" w:sz="0" w:space="0" w:color="auto"/>
            <w:left w:val="none" w:sz="0" w:space="0" w:color="auto"/>
            <w:bottom w:val="none" w:sz="0" w:space="0" w:color="auto"/>
            <w:right w:val="none" w:sz="0" w:space="0" w:color="auto"/>
          </w:divBdr>
        </w:div>
        <w:div w:id="1829862157">
          <w:marLeft w:val="0"/>
          <w:marRight w:val="0"/>
          <w:marTop w:val="0"/>
          <w:marBottom w:val="0"/>
          <w:divBdr>
            <w:top w:val="none" w:sz="0" w:space="0" w:color="auto"/>
            <w:left w:val="none" w:sz="0" w:space="0" w:color="auto"/>
            <w:bottom w:val="none" w:sz="0" w:space="0" w:color="auto"/>
            <w:right w:val="none" w:sz="0" w:space="0" w:color="auto"/>
          </w:divBdr>
        </w:div>
        <w:div w:id="1279143380">
          <w:marLeft w:val="0"/>
          <w:marRight w:val="0"/>
          <w:marTop w:val="0"/>
          <w:marBottom w:val="0"/>
          <w:divBdr>
            <w:top w:val="none" w:sz="0" w:space="0" w:color="auto"/>
            <w:left w:val="none" w:sz="0" w:space="0" w:color="auto"/>
            <w:bottom w:val="none" w:sz="0" w:space="0" w:color="auto"/>
            <w:right w:val="none" w:sz="0" w:space="0" w:color="auto"/>
          </w:divBdr>
        </w:div>
        <w:div w:id="1073694687">
          <w:marLeft w:val="0"/>
          <w:marRight w:val="0"/>
          <w:marTop w:val="0"/>
          <w:marBottom w:val="0"/>
          <w:divBdr>
            <w:top w:val="none" w:sz="0" w:space="0" w:color="auto"/>
            <w:left w:val="none" w:sz="0" w:space="0" w:color="auto"/>
            <w:bottom w:val="none" w:sz="0" w:space="0" w:color="auto"/>
            <w:right w:val="none" w:sz="0" w:space="0" w:color="auto"/>
          </w:divBdr>
        </w:div>
        <w:div w:id="1655374720">
          <w:marLeft w:val="0"/>
          <w:marRight w:val="0"/>
          <w:marTop w:val="0"/>
          <w:marBottom w:val="0"/>
          <w:divBdr>
            <w:top w:val="none" w:sz="0" w:space="0" w:color="auto"/>
            <w:left w:val="none" w:sz="0" w:space="0" w:color="auto"/>
            <w:bottom w:val="none" w:sz="0" w:space="0" w:color="auto"/>
            <w:right w:val="none" w:sz="0" w:space="0" w:color="auto"/>
          </w:divBdr>
        </w:div>
        <w:div w:id="1518540819">
          <w:marLeft w:val="0"/>
          <w:marRight w:val="0"/>
          <w:marTop w:val="0"/>
          <w:marBottom w:val="0"/>
          <w:divBdr>
            <w:top w:val="none" w:sz="0" w:space="0" w:color="auto"/>
            <w:left w:val="none" w:sz="0" w:space="0" w:color="auto"/>
            <w:bottom w:val="none" w:sz="0" w:space="0" w:color="auto"/>
            <w:right w:val="none" w:sz="0" w:space="0" w:color="auto"/>
          </w:divBdr>
        </w:div>
      </w:divsChild>
    </w:div>
    <w:div w:id="12305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14026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unsaved://LexNavigator.htm/DB0;LexAct%2014026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nsaved://LexNavigator.htm/DB0;LexAct%20140266" TargetMode="External"/><Relationship Id="rId5" Type="http://schemas.openxmlformats.org/officeDocument/2006/relationships/footnotes" Target="footnotes.xml"/><Relationship Id="rId10" Type="http://schemas.openxmlformats.org/officeDocument/2006/relationships/hyperlink" Target="unsaved://LexNavigator.htm/DB0;LexAct%20140266" TargetMode="External"/><Relationship Id="rId4" Type="http://schemas.openxmlformats.org/officeDocument/2006/relationships/webSettings" Target="webSettings.xml"/><Relationship Id="rId9" Type="http://schemas.openxmlformats.org/officeDocument/2006/relationships/hyperlink" Target="unsaved://LexNavigator.htm/DB0;LexAct%201402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1</cp:revision>
  <cp:lastPrinted>2018-07-26T07:31:00Z</cp:lastPrinted>
  <dcterms:created xsi:type="dcterms:W3CDTF">2018-07-26T07:03:00Z</dcterms:created>
  <dcterms:modified xsi:type="dcterms:W3CDTF">2018-07-26T07:37:00Z</dcterms:modified>
</cp:coreProperties>
</file>